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中共中央办公厅 国务院办公厅印发《关于进一步减轻义务教育阶段学生作业负担和校外培训负担的意见》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近日，中共中央办公厅、国务院办公厅印发了《关于进一步减轻义务教育阶段学生作业负担和校外培训负担的意见》，并发出通知，要求各地区各部门结合实际认真贯彻落实。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《关于进一步减轻义务教育阶段学生作业负担和校外培训负担的意见》全文如下。</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二、全面压减作业总量和时长，减轻学生过重作业负担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5.分类明确作业总量。学校要确保小学一、二年级不布置家庭书面作业，可在校内适当安排巩固练习；小学三至六年级书面作业平均完成时间不超过60分钟，初中书面作业平均完成时间不超过90分钟。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三、提升学校课后服务水平，满足学生多样化需求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四、坚持从严治理，全面规范校外培训行为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五、大力提升教育教学质量，确保学生在校内学足学好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六、强化配套治理，提升支撑保障能力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七、扎实做好试点探索，确保治理工作稳妥推进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23.明确试点工作要求。在全面开展治理工作的同时，确定北京市、上海市、沈阳市、广州市、成都市、郑州市、长治市、威海市、南通市为全国试点，其他省份至少选择1个地市开展试点，试点内容为第24、25、26条所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24.坚决压减学科类校外培训。对现有学科类培训机构重新审核登记，逐步大大压减，解决过多过滥问题；依法依规严肃查处存在不符合资质、管理混乱、借机敛财、虚假宣传、与学校勾连牟利等严重问题的机构。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25.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26.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b/>
          <w:bCs/>
          <w:i w:val="0"/>
          <w:iCs w:val="0"/>
          <w:caps w:val="0"/>
          <w:color w:val="4B4B4B"/>
          <w:spacing w:val="0"/>
          <w:sz w:val="24"/>
          <w:szCs w:val="24"/>
          <w:bdr w:val="none" w:color="auto" w:sz="0" w:space="0"/>
        </w:rPr>
        <w:t>八、精心组织实施，务求取得实效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27.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28.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30.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ind w:left="0" w:right="0" w:firstLine="480" w:firstLineChars="200"/>
        <w:textAlignment w:val="auto"/>
      </w:pPr>
      <w:r>
        <w:rPr>
          <w:rFonts w:hint="eastAsia" w:ascii="微软雅黑" w:hAnsi="微软雅黑" w:eastAsia="微软雅黑" w:cs="微软雅黑"/>
          <w:i w:val="0"/>
          <w:iCs w:val="0"/>
          <w:caps w:val="0"/>
          <w:color w:val="4B4B4B"/>
          <w:spacing w:val="0"/>
          <w:sz w:val="24"/>
          <w:szCs w:val="24"/>
          <w:bdr w:val="none" w:color="auto" w:sz="0" w:space="0"/>
        </w:rPr>
        <w:t>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31C8"/>
    <w:rsid w:val="0368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2022-02-26T06:30:00Z</dcterms:created>
  <dc:creator>MSI</dc:creator>
  <cp:lastModifiedBy>MSI</cp:lastModifiedBy>
  <dcterms:modified xsi:type="dcterms:W3CDTF">2022-02-26T06:33:52Z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